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904250"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6247C1">
        <w:rPr>
          <w:rFonts w:ascii="GHEA Grapalat" w:eastAsia="Times New Roman" w:hAnsi="GHEA Grapalat" w:cs="Sylfaen"/>
          <w:sz w:val="16"/>
          <w:szCs w:val="16"/>
          <w:lang w:val="ru-RU"/>
        </w:rPr>
        <w:t>162</w:t>
      </w:r>
      <w:bookmarkStart w:id="0" w:name="_GoBack"/>
      <w:bookmarkEnd w:id="0"/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3B2499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1E20E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ԱՐՄԱՎԻՐԻ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6247C1" w:rsidTr="000C143F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E20E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Արմավիրի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430A2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567F55">
              <w:rPr>
                <w:rFonts w:ascii="GHEA Grapalat" w:hAnsi="GHEA Grapalat"/>
                <w:sz w:val="24"/>
                <w:szCs w:val="24"/>
              </w:rPr>
              <w:t>6.20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653C7F">
              <w:rPr>
                <w:rFonts w:ascii="GHEA Grapalat" w:hAnsi="GHEA Grapalat"/>
                <w:sz w:val="24"/>
                <w:szCs w:val="24"/>
              </w:rPr>
              <w:t>9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DB1522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DB1522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DB1522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DB1522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DB1522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0C143F" w:rsidRPr="000C143F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141C9D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  <w:r w:rsidR="00DB1522" w:rsidRPr="00DB1522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1B1356" w:rsidRDefault="00140C7A" w:rsidP="001B1356">
            <w:pPr>
              <w:spacing w:after="0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1B135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1B1356" w:rsidRPr="001B135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1B1356" w:rsidRPr="001B135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Արմավիրի մարզ, ք</w:t>
            </w:r>
            <w:r w:rsidR="001B1356" w:rsidRPr="001B1356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1B1356" w:rsidRPr="001B135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Արմավիր, Երևանյան 4</w:t>
            </w:r>
          </w:p>
        </w:tc>
      </w:tr>
      <w:tr w:rsidR="003C5E15" w:rsidRPr="006247C1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DB1522" w:rsidRPr="00F81A6B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lastRenderedPageBreak/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B1522" w:rsidRPr="002579E9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E6554" w:rsidRPr="00653C7F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E6554" w:rsidRPr="0090425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904250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7E6554" w:rsidRPr="0090425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D036F6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E6554" w:rsidRPr="008364F8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7E6554" w:rsidRPr="00D036F6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Կենտրոնի գործունեության ոլորտին, վերջինիս վերապահված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D77191" w:rsidRDefault="007E6554" w:rsidP="007E6554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E6554" w:rsidRDefault="007E6554" w:rsidP="007E655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7E6554" w:rsidRPr="007E6554" w:rsidRDefault="007E6554" w:rsidP="007E655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D000CA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D000CA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7E6554" w:rsidRPr="007E6554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7E6554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1E6ABE" w:rsidRPr="00430A20" w:rsidRDefault="003C5E15" w:rsidP="00D90DA3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D90DA3" w:rsidRPr="00D90DA3">
              <w:rPr>
                <w:rFonts w:ascii="GHEA Grapalat" w:hAnsi="GHEA Grapalat" w:cs="Sylfaen"/>
                <w:lang w:val="hy-AM"/>
              </w:rPr>
              <w:t xml:space="preserve">Բարձրագույն կրթություն </w:t>
            </w:r>
          </w:p>
          <w:p w:rsidR="008E696F" w:rsidRPr="00904250" w:rsidRDefault="003C5E15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lastRenderedPageBreak/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0C143F" w:rsidRPr="000C143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7E6554">
              <w:rPr>
                <w:rFonts w:ascii="GHEA Grapalat" w:hAnsi="GHEA Grapalat" w:cs="Sylfaen"/>
                <w:lang w:val="hy-AM"/>
              </w:rPr>
              <w:t>գյուղատնտես</w:t>
            </w:r>
            <w:r w:rsidR="007E6554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7E6554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7E6554">
              <w:rPr>
                <w:rFonts w:ascii="GHEA Grapalat" w:hAnsi="GHEA Grapalat" w:cs="Sylfaen"/>
                <w:lang w:val="hy-AM"/>
              </w:rPr>
              <w:t>անցկացման</w:t>
            </w:r>
            <w:r w:rsidR="007E6554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0C143F" w:rsidRPr="000C143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B1522" w:rsidRPr="00DB1522">
              <w:rPr>
                <w:rFonts w:ascii="GHEA Grapalat" w:hAnsi="GHEA Grapalat" w:cs="Sylfaen"/>
                <w:lang w:val="hy-AM"/>
              </w:rPr>
              <w:t xml:space="preserve"> </w:t>
            </w:r>
            <w:r w:rsidR="007E6554" w:rsidRPr="007E6554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904250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04250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>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7E6554" w:rsidRDefault="0000101D" w:rsidP="007E655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6247C1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DB152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DB152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DB152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lastRenderedPageBreak/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DB1522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C143F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1C9D"/>
    <w:rsid w:val="00143524"/>
    <w:rsid w:val="00171FC1"/>
    <w:rsid w:val="001859CD"/>
    <w:rsid w:val="001B0631"/>
    <w:rsid w:val="001B110C"/>
    <w:rsid w:val="001B1356"/>
    <w:rsid w:val="001B5EAC"/>
    <w:rsid w:val="001D3FF1"/>
    <w:rsid w:val="001E20E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4076"/>
    <w:rsid w:val="00334754"/>
    <w:rsid w:val="00343519"/>
    <w:rsid w:val="00363AC8"/>
    <w:rsid w:val="003B2499"/>
    <w:rsid w:val="003C5E15"/>
    <w:rsid w:val="003D1668"/>
    <w:rsid w:val="003E697D"/>
    <w:rsid w:val="00411E7F"/>
    <w:rsid w:val="00425257"/>
    <w:rsid w:val="0043050E"/>
    <w:rsid w:val="00430641"/>
    <w:rsid w:val="00430A20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67F55"/>
    <w:rsid w:val="00582658"/>
    <w:rsid w:val="005A287D"/>
    <w:rsid w:val="005E646E"/>
    <w:rsid w:val="006247C1"/>
    <w:rsid w:val="00624A4D"/>
    <w:rsid w:val="006418D1"/>
    <w:rsid w:val="00653C7F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75518"/>
    <w:rsid w:val="007A14F0"/>
    <w:rsid w:val="007B3877"/>
    <w:rsid w:val="007C5CD9"/>
    <w:rsid w:val="007D607D"/>
    <w:rsid w:val="007E2902"/>
    <w:rsid w:val="007E6554"/>
    <w:rsid w:val="0080044B"/>
    <w:rsid w:val="00802C83"/>
    <w:rsid w:val="00822C26"/>
    <w:rsid w:val="008341A9"/>
    <w:rsid w:val="00835CBB"/>
    <w:rsid w:val="00855F7E"/>
    <w:rsid w:val="008564F4"/>
    <w:rsid w:val="008675F6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379CC"/>
    <w:rsid w:val="009425A1"/>
    <w:rsid w:val="00953EA5"/>
    <w:rsid w:val="00970CBC"/>
    <w:rsid w:val="00991B92"/>
    <w:rsid w:val="009A0475"/>
    <w:rsid w:val="009A29D6"/>
    <w:rsid w:val="009A4558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B31066"/>
    <w:rsid w:val="00B32629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72018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90DA3"/>
    <w:rsid w:val="00DB152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B58CF"/>
  <w15:docId w15:val="{70B8FD59-7604-4316-AC59-53D76D07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B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9AA0F-24B5-4164-B1CC-094E674B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14</cp:revision>
  <cp:lastPrinted>2019-03-13T08:19:00Z</cp:lastPrinted>
  <dcterms:created xsi:type="dcterms:W3CDTF">2019-12-03T08:33:00Z</dcterms:created>
  <dcterms:modified xsi:type="dcterms:W3CDTF">2020-04-18T03:30:00Z</dcterms:modified>
</cp:coreProperties>
</file>